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湖南工学院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第二</w:t>
      </w:r>
      <w:r>
        <w:rPr>
          <w:rFonts w:hint="eastAsia" w:ascii="宋体" w:hAnsi="宋体"/>
          <w:b/>
          <w:sz w:val="30"/>
          <w:szCs w:val="30"/>
        </w:rPr>
        <w:t>届大学生电子商务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大赛暨第九届全国大学生电子商务</w:t>
      </w:r>
      <w:r>
        <w:rPr>
          <w:rFonts w:hint="eastAsia" w:ascii="宋体" w:hAnsi="宋体"/>
          <w:b/>
          <w:sz w:val="30"/>
          <w:szCs w:val="30"/>
        </w:rPr>
        <w:t>“创新、创意及创业”挑战赛校内选拔赛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评分细则</w:t>
      </w:r>
    </w:p>
    <w:p/>
    <w:tbl>
      <w:tblPr>
        <w:tblStyle w:val="5"/>
        <w:tblW w:w="810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5283"/>
        <w:gridCol w:w="15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602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评分说明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项目分值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hanging="3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实用性与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创新能力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面向现实应用问题，具有解决问题的实用价值，体现出创新能力与元素，对目标企业有吸引力。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产品与服务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对产品与服务的描述清晰，特色鲜明，有较显著的竞争优势或市场优势。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市场分析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对产品或服务的市场容量、市场定位与竞争力等进行合理的分析，方法恰当、内容具体，对目标企业具有较强的说服力。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营销策略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对营销策略、营销成本、产品与服务定价、营销渠道及其拓展、促销方式等进行深入分析，具有吸引力、可行性和一定的创新性。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方案实现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通过功能设置、技术实现等，设计并实施具体解决方案，需求分析到位，解决方案设计合理。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总体评价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背景及现状介绍清楚；团队结构合理，工作努力；商业目的明确、合理；公司市场定位准确；创意、创新、创业理念出色；对专家提问理解正确、回答流畅、内容准确可信。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0" w:type="dxa"/>
          <w:jc w:val="center"/>
        </w:trPr>
        <w:tc>
          <w:tcPr>
            <w:tcW w:w="65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得分合计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94"/>
    <w:rsid w:val="002F5E55"/>
    <w:rsid w:val="004D5594"/>
    <w:rsid w:val="00AD1E5F"/>
    <w:rsid w:val="00B13D5D"/>
    <w:rsid w:val="00CD306F"/>
    <w:rsid w:val="56455045"/>
    <w:rsid w:val="7CB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9</Lines>
  <Paragraphs>5</Paragraphs>
  <TotalTime>0</TotalTime>
  <ScaleCrop>false</ScaleCrop>
  <LinksUpToDate>false</LinksUpToDate>
  <CharactersWithSpaces>436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2018-01-15T07:48:00Z</dcterms:created>
  <dc:creator>li simeng</dc:creator>
  <cp:lastModifiedBy>经贸</cp:lastModifiedBy>
  <cp:lastPrinted>2018-12-17T03:55:00Z</cp:lastPrinted>
  <dcterms:modified xsi:type="dcterms:W3CDTF">2018-12-18T01:23:04Z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